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96A0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haqqında</w:t>
      </w:r>
      <w:proofErr w:type="spellEnd"/>
    </w:p>
    <w:p w14:paraId="329F6838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286DFBFF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 RESPUBLİKASININ QANUNU</w:t>
      </w:r>
    </w:p>
    <w:p w14:paraId="1E691C56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4170D9A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aşkar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nəticələrinin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aradan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qaldırılmasına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sosial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ədalətin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insan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vətəndaş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azadlıqlarının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müdafiə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iqtisadiyyatın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inkişafı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əlverişli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şəraitin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yaradılmasına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, 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publik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bundan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sonra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–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),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qanuniliyinin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şəffaflığının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səmərəliliyinin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yönəlmişdir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0" w:name="_ednref1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0"/>
    </w:p>
    <w:p w14:paraId="215A76F2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əhalinin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etimadının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möhkəmləndirilməsi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peşəkar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kadrların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qulluğa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girməyə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həvəsləndirilməsi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törətməsini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istisna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şəraitin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yaradılması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məqsədini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daşıyır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1" w:name="_ednref2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"_edn2"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[2]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"/>
    </w:p>
    <w:p w14:paraId="2691D9E3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4460A73E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fəsil</w:t>
      </w:r>
      <w:proofErr w:type="spellEnd"/>
    </w:p>
    <w:p w14:paraId="4AFCBDD4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ÜMUMİ MÜDDƏALAR</w:t>
      </w:r>
    </w:p>
    <w:p w14:paraId="5D0B52B8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16713B7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1. 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Korrupsiyanın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anlayışı</w:t>
      </w:r>
      <w:proofErr w:type="spellEnd"/>
    </w:p>
    <w:p w14:paraId="1103A0F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 </w:t>
      </w:r>
    </w:p>
    <w:p w14:paraId="5343284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-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statusundan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təmsil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)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statusundan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status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irəli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gələn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imkanlardan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yaxud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yolu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alınmasıdır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2" w:name="_ednref3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"_edn3"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[3]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2"/>
    </w:p>
    <w:p w14:paraId="526D11F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3D58342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2.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hüquqpozmaların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subyektləri</w:t>
      </w:r>
      <w:proofErr w:type="spellEnd"/>
    </w:p>
    <w:p w14:paraId="7BD6D30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7B6A993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Aşağıdakı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subyektləridirlər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:</w:t>
      </w:r>
    </w:p>
    <w:p w14:paraId="4384E5EA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2.1.1.Azərbaycan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Konstitusiyası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təyin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5C75237D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2.1.2.xüsusi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əsasında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təmsil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4DF585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2.1.3.inzibati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qulluqçuları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574BD01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2.1.4.dövlət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vahidlərində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təşkilatlarında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nəzarət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səhm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zərfinə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sahib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olduğu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>subyektlərində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təşkilati-sərəncamverici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inzibati-təsərrüfat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funksiyalarını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27B438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2.1.5.Azərbaycan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namizədliyi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alınmış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DDA297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2.1.6.Azərbaycan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5576C15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2.1.7.yerli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təşkilati-sərəncamverici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inzibati-təsərrüfat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funksiyalarını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47E4A03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2.1.7-1.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rəhbərləri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işçiləri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o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cümlədən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xüsusi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səlahiyyət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təşkilati-sərəncamverici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inzibati-təsərrüfat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funksiyalarını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;</w:t>
      </w:r>
      <w:bookmarkStart w:id="3" w:name="_ednref4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"_edn4"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[4]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3"/>
    </w:p>
    <w:p w14:paraId="28E2535D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2.1.8.qanunla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hallarda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yerinə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yetirən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qeyri-dövlət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təşkilati-sərəncamverici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inzibati-təsərrüfat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funksiyalarmı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0DA4EF4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2.1.9.öz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nüfuzundan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əlaqələrindən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edərək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qərarına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0B7C3E2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2.1.10.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yaxud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hərəkətlərdə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vasitəçilik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3868287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2.2. 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2.1.1-2.1.8-ci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maddələrində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məqsədi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hesab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0EE54B1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0D7DFCA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3. 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dairəsi</w:t>
      </w:r>
      <w:proofErr w:type="spellEnd"/>
    </w:p>
    <w:p w14:paraId="355384D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601B051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ərazisində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bütün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(o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cümlədən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əcnəbilər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vətəndaşlığı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olmayan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ərazisindən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kənarda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vətəndaşları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qeydiyyatdan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çıxdığı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beynəlxalq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müqavilələrə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uyğun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079F21E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 </w:t>
      </w:r>
    </w:p>
    <w:p w14:paraId="7EE4F0A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4. 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mübarizəni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orqanlar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sz w:val="24"/>
          <w:szCs w:val="24"/>
        </w:rPr>
        <w:t>qurumlar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sz w:val="24"/>
          <w:szCs w:val="24"/>
        </w:rPr>
        <w:t>)</w:t>
      </w:r>
      <w:bookmarkStart w:id="4" w:name="_ednref5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"_edn5"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[5]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4"/>
    </w:p>
    <w:p w14:paraId="2FF2723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03159A5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4.1.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Bütün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çərçivəsində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mübarizəni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yaratdıqda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mübarizəni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mühafizə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5" w:name="_ednref6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"_edn6"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[6]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5"/>
    </w:p>
    <w:p w14:paraId="6ECF42C3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</w:rPr>
        <w:lastRenderedPageBreak/>
        <w:t>4.2.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sahəsində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ixtisaslaşmış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funksiyalarını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sonra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")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6" w:name="_ednref7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"_edn7"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[7]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6"/>
    </w:p>
    <w:p w14:paraId="20412B6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4.3.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tərkibi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məhkəmə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hakimiyyəti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təyin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üzvlərdən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ibarətdir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təsdiq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Əsasnamə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olunur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7F2AE2DC" w14:textId="77777777" w:rsidR="002C2AD1" w:rsidRPr="002C2AD1" w:rsidRDefault="002C2AD1" w:rsidP="002C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2B4E06F6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II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fəsil</w:t>
      </w:r>
      <w:proofErr w:type="spellEnd"/>
    </w:p>
    <w:p w14:paraId="6B6DDAB7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706C8607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KORRUPSİYANIN QARŞISININ ALINMASI</w:t>
      </w:r>
    </w:p>
    <w:p w14:paraId="0E5EBBF3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 </w:t>
      </w:r>
    </w:p>
    <w:p w14:paraId="635D011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5.</w:t>
      </w: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Maliyyə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xarakterli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tələblər</w:t>
      </w:r>
      <w:proofErr w:type="spellEnd"/>
    </w:p>
    <w:p w14:paraId="01FEADF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2264867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5.1.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aşağıdakı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təqdim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etməlidirlər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:</w:t>
      </w:r>
      <w:bookmarkStart w:id="7" w:name="_ednref8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"_edn8"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color w:val="0000FF"/>
          <w:spacing w:val="2"/>
          <w:sz w:val="20"/>
          <w:szCs w:val="20"/>
          <w:u w:val="single"/>
          <w:vertAlign w:val="superscript"/>
        </w:rPr>
        <w:t>[8]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7"/>
    </w:p>
    <w:p w14:paraId="058763B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5.1.1.mənbəyini,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növünü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məbləğini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il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gəlirləri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360A38B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5.1.2.vergitutma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obyekti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412E3293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5.1.3.kredit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təşkilatlarındakı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əmanətləri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qiymətli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kağızları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maliyyə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vəsaitləri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2456FB6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5.1.4.şirkətlərin,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fondların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subyektlərinin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səhmdar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təsisçi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kimi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iştirakı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müəssisələrdə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mülkiyyət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payı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37F8967C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5.1.5.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beş min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beş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yüz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manatdan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yuxarı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borcu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  <w:bookmarkStart w:id="8" w:name="_ednref9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"_edn9"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[9]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8"/>
    </w:p>
    <w:p w14:paraId="56B1DF9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5.1.6.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min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yüz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manatdan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yuxarı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maliyyə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xarakterli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öhdəlikləri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9" w:name="_ednref10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"_edn10"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[10]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9"/>
    </w:p>
    <w:p w14:paraId="00DCC90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5.2. 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5.1-ci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color w:val="0000FF"/>
          <w:spacing w:val="2"/>
          <w:sz w:val="24"/>
          <w:szCs w:val="24"/>
        </w:rPr>
        <w:t>.</w:t>
      </w:r>
      <w:bookmarkStart w:id="10" w:name="_ednref11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"_edn11"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[11]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0"/>
    </w:p>
    <w:p w14:paraId="3118EB7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 </w:t>
      </w:r>
    </w:p>
    <w:p w14:paraId="240DC02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6 . 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Maliyyə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xarakterli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tələblərin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pozulmasına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görə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məsuliyyət</w:t>
      </w:r>
      <w:proofErr w:type="spellEnd"/>
    </w:p>
    <w:p w14:paraId="3E912C3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6259F0DD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6.1.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tutmaq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istəyən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5.1-ci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əməl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olunmamasının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nəticələri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xəbərdar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2F7A3D5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6.2.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 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5.1-ci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əməl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nəzarətin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11" w:name="_ednref12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"_edn12"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color w:val="0000FF"/>
          <w:spacing w:val="2"/>
          <w:sz w:val="20"/>
          <w:szCs w:val="20"/>
          <w:u w:val="single"/>
          <w:vertAlign w:val="superscript"/>
        </w:rPr>
        <w:t>[12]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1"/>
    </w:p>
    <w:p w14:paraId="7F8FA0B2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6.3.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5.1-ci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əməl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yəni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üzürsüz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səbəbdən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vaxtında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təqdim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qəsdən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natamam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yaxud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təhrif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təqdim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cəlb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səbəb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ola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Konstitusiyası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barələrində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cəlb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xüsusi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qaydalara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riayət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cəlb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4414BD0E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6.4.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5.1-ci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əməl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rəsmi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qəzetində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dərc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6AA5AD9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7102063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7. 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Yaxın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qohumların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birgə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işləməsinə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yol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verilməməsi</w:t>
      </w:r>
      <w:proofErr w:type="spellEnd"/>
    </w:p>
    <w:p w14:paraId="75B6912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77EB5F2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7.1.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qohumları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istisna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olmaqla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bilavasitə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tabeliyində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heç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bilməzlər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1BAE613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7.2.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7.1-ci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pozan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pozulması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edildikdən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sonra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30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müddətində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pozuntunu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könüllü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aradan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qaldırmadıqları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tabeliyi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istisna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başqa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keçirilməli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mümkün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olmadıqda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tutduğu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azad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olunmalıdır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0BD4532D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7.3. 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7.2-ci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əsaslar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azad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təşkilatlarda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6B8790CE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4ACB162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8. 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Hədiyyə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 xml:space="preserve"> alma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məhdudiyyətlər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 </w:t>
      </w:r>
      <w:bookmarkStart w:id="12" w:name="_ednref13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"_edn13"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[13]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2"/>
    </w:p>
    <w:p w14:paraId="6C1E0F5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583E69E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8.1.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vəzifələrinin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qərəzsiz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icrasına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bilən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cür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təəssüratı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yaradan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vəzifələrinin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mükafat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qismində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verilən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cür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mükafat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təəssüratı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yaradan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hədiyyələri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özü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tələb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bilməz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. Bu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qayda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vəzifələrinin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qərəzsiz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icrasına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etməmək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şərtilə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8.2-ci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tutulan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kiçik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hədiyyələrin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sadə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qonaqpərvərlikdən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hallarına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şamil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olunmur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.</w:t>
      </w:r>
    </w:p>
    <w:p w14:paraId="6D715D8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8.2.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vəzifələrinin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il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ərzində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hansı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şəxsdən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ümumi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məbləği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əlli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beş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manatdan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yuxarı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neçə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hədiyyəni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bilməz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məbləğdən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yuxarı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hədiyyələr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vəzifəsini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keçirdiyi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orqanına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orqanına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quruma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məxsus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hesab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.</w:t>
      </w:r>
      <w:bookmarkStart w:id="13" w:name="_ednref14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"_edn14"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[14]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3"/>
    </w:p>
    <w:p w14:paraId="311D7D4D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8.3.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hədiyyənin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sadə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qonaqpərvərlikdən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qərara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gələ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bilmədiyi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hallarda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məsələ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birbaşa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rəhbərinin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rəyini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öyrənməlidir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.</w:t>
      </w:r>
    </w:p>
    <w:p w14:paraId="535CBFA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8.4.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şəxslərlə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mülki-hüquqi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əqdlərin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bağlanması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onların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zamanı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fəaliyyəti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hansı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qadağan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olunur</w:t>
      </w:r>
      <w:proofErr w:type="spellEnd"/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.</w:t>
      </w:r>
    </w:p>
    <w:p w14:paraId="28302FF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8.5.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olunduğu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hallarda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etməlidir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Maddi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asılı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olmayan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səbəblərdən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>verilərsə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o,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birbaşa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rəhbərinə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verməli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işlədiyi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orqanına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orqanına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təhvil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verilməlidir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14" w:name="_ednref15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"_edn15"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[15]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4"/>
    </w:p>
    <w:p w14:paraId="5BAE1F6E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41F897FA" w14:textId="77777777" w:rsidR="002C2AD1" w:rsidRPr="002C2AD1" w:rsidRDefault="002C2AD1" w:rsidP="002C2AD1">
      <w:pPr>
        <w:shd w:val="clear" w:color="auto" w:fill="FFFFFF"/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III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fəsil</w:t>
      </w:r>
      <w:proofErr w:type="spellEnd"/>
    </w:p>
    <w:p w14:paraId="78EB2390" w14:textId="77777777" w:rsidR="002C2AD1" w:rsidRPr="002C2AD1" w:rsidRDefault="002C2AD1" w:rsidP="002C2AD1">
      <w:pPr>
        <w:shd w:val="clear" w:color="auto" w:fill="FFFFFF"/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6FC05208" w14:textId="77777777" w:rsidR="002C2AD1" w:rsidRPr="002C2AD1" w:rsidRDefault="002C2AD1" w:rsidP="002C2AD1">
      <w:pPr>
        <w:shd w:val="clear" w:color="auto" w:fill="FFFFFF"/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KORRUPSİYA İLƏ ƏLAQƏDAR HÜQUQPOZMALAR VƏ BU HÜQUQPOZMALARA GÖRƏ MƏSULİYYƏT</w:t>
      </w:r>
    </w:p>
    <w:p w14:paraId="4017ED86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 </w:t>
      </w:r>
    </w:p>
    <w:p w14:paraId="710007D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34"/>
          <w:sz w:val="24"/>
          <w:szCs w:val="24"/>
        </w:rPr>
        <w:t xml:space="preserve"> 9.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hüquqpozmalar</w:t>
      </w:r>
      <w:proofErr w:type="spellEnd"/>
    </w:p>
    <w:p w14:paraId="2938CA7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02BC4D0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9.1.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bilavasitə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şərait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ibarətdir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0CE349C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9.2.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aşağıdakılardır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:</w:t>
      </w:r>
    </w:p>
    <w:p w14:paraId="0691268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9.2.1.vəzifəli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vəzifəsinin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hansı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yaxud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üçüncü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birbaşa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dolayı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yolla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09805A2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9.2.2.xidməti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vəzifəsinin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hansı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üçüncü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birbaşa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dolayı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yolla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C0F9FE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9.2.3.vəzifəli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vəzifəsinin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hansı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alınmış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üçüncü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mənfəət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məqsədilə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E763F0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9.2.4.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vəzifəli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vəzifəsinin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haqqı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ödənilmədən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bazar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qiymətlərindən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tənzimlənən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qiymətlərdən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aşağı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qiymətə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tarifə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395C72CE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9.2.5.vəzifəli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xidməti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vəzifəsinin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əmanətlərdən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depozitlərdən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qiymətli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kağızlardan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rentadan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royaltidən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icarədən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qanunvericiliyinə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zidd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gəlir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götürməsi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2AAD0BB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9.2.6.müəyyən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mükafat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qərarına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imkanına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malik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olduğunu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bildirən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hansı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birbaşa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dolayı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yolla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4BA71032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 xml:space="preserve">9.2.7.müəyyən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mükafat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müqabilində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qərarına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imkanına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malik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olduğunu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bildirən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təklifin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vədin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6325282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aşağıdakı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şərait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sayılır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:</w:t>
      </w:r>
    </w:p>
    <w:p w14:paraId="23823FC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9.3.1.xidməti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vəzifəsini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elmi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pedaqoji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yaradıcılıq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istisna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olmaqla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ödənişli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tutmaq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növü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məşğul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56D5867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9.3.2.statusundan,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təmsil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)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statusundan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status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irəli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gələn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imkanlardan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nemətlərin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məqsədilə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sahibkarlıq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keçirməkdə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eləcə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subsidiyalar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subvensiyalar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dotasiyalar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kreditlər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alınmasında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kömək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58936C0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9.3.3.bilavasitə,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başqa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uydurma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vasitəsilə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sahibkarlıq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məşğul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əvəzçilik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işləmək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elmi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pedaqoji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yaradıcılıq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istisna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olmaqla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),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sahibkarlıq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subyektlərinin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maliyyə-kredit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müəssisələrinin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icra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tərkibinə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daxil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2AA40D4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9.3.4.statusundan,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təmsil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)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statusundan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status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irəli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gələn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imkanlardan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dairəsinə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daxil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olmayan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məsələlər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müdaxilə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  <w:bookmarkStart w:id="15" w:name="_ednref16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"_edn16"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[16]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5"/>
    </w:p>
    <w:p w14:paraId="729D3FBE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9.3.5.statusundan,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təmsil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)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statusundan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status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irəli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gələn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imkanlardan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istifadə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maraqlarına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aid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məsələlərin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həllinə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5A340A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9.3.6.normativ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qərarların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zamanı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təyinatına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uyğun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olmayan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üstünlüklər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32F41E6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9.3.7.vəzifə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tutduğu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tabe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nəzarətində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hesabat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)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işi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nümayəndəsi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qismində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iştirak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  <w:bookmarkStart w:id="16" w:name="_ednref17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"_edn17"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[17]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6"/>
    </w:p>
    <w:p w14:paraId="5A3F708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9.3.8.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qanunla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normativ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aktlarla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əsassız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gecikdirmək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yaxud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natamam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təhrif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4ECC7801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9.3.9.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normativ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aktlarla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tutulmayan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sənədləri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tələb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1524A87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9.3.10.dövlət 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maliyyə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vəsaitlərini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namizədlərin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alınmış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namizədlərin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>siyasi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partiyaların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siyasi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partiya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bloklarının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referendum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üzrə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təşəbbüs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qruplarının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fonduna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  <w:bookmarkStart w:id="17" w:name="_ednref18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"_edn18"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[18]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7"/>
    </w:p>
    <w:p w14:paraId="3A5F988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9.3.11.qanunvericiliklə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başqa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tutulmamışdırsa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fondlarına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təsərrüfat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subyektlərinə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məxsus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maliyyə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ehtiyatlarını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qeyri-dövlət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strukturlarına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  <w:bookmarkStart w:id="18" w:name="_ednref19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"_edn19"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[19]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8"/>
    </w:p>
    <w:p w14:paraId="006A33F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9.3.12.fiziki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mənafelərinin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keçirilməsində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süni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maneələr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yaratmaq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;</w:t>
      </w:r>
    </w:p>
    <w:p w14:paraId="0558D09F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9.3.13.sahibkarlıq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tənzimlənməsi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səlahiyyətləri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vermək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3B480C3A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9.4. 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hallardan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başqa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fəaliyyətini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tənzimləyən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statusunu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5609CF5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5164150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10.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hüquqpozmalara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görə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məsuliyyəti</w:t>
      </w:r>
      <w:proofErr w:type="spellEnd"/>
    </w:p>
    <w:p w14:paraId="0787478C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6BD07A7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10.1.      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mülki-hüquqi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səbəb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37F6C7FA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10.2.Vəzifəli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9-cu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mülki-hüquqi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yaratdıqda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cəlb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qanunvericiliyinə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uyğun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keçirilir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116283D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10.3.Korrupsiya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tədbirləri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tənzimlənir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0B685D32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10.4.Bu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9-cu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yaratmadıqda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aşağıdakı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xüsusi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hallara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riayət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məsuliyyətinə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səbəb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:</w:t>
      </w:r>
    </w:p>
    <w:p w14:paraId="3DCC005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10.4.1.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Azərbaycan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Konstitusiyası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9-cu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törətdikdə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aparan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seçildiyi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5635AD6C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10.4.2.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Azərbaycan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9-cu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törətdikdə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aparan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komissiyası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isə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materiallar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daxil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olduğu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beş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ərzində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yol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seçildiyi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644ADB5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10.4.3.Azərbaycan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vəzifələrə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namizədliyi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alınmış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9-cu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törətdikdə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Respublikası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Seçki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Məcəlləsində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tədbirlər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görülür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26CD103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10.4.4.</w:t>
      </w:r>
      <w:r w:rsidRPr="002C2AD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Hakimlər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9-cu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göstərilən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törətdikdə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aparan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intizam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tənbehinin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tətbiqi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məsələsinə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baxılması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Məhkəmə-Hüquq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Şurasına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verir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19" w:name="_ednref20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"_edn20"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color w:val="0000FF"/>
          <w:spacing w:val="2"/>
          <w:sz w:val="20"/>
          <w:szCs w:val="20"/>
          <w:u w:val="single"/>
          <w:vertAlign w:val="superscript"/>
        </w:rPr>
        <w:t>[20]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19"/>
    </w:p>
    <w:p w14:paraId="23F3DAA2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5D174BB9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11. 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hüquqpozmalarına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görə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məsuliyyəti</w:t>
      </w:r>
      <w:proofErr w:type="spellEnd"/>
    </w:p>
    <w:p w14:paraId="61C0CE0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 </w:t>
      </w:r>
    </w:p>
    <w:p w14:paraId="3CABAF0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11.1.</w:t>
      </w: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Qanunvericiliklə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hüquqpozmalarım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fiziki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hərəkətləri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tərkibi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yaratmadıqda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inzibati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cərimə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2165FE3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</w:rPr>
        <w:t>11.2.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14"/>
          <w:szCs w:val="1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tərkibi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yaratmayan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törətmiş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cərimə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tərkibi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yaradan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hüquqpozmasına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görə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cərimə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cinayət-hüquqi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tədbirlər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20" w:name="_ednref21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"_edn21"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[21]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20"/>
    </w:p>
    <w:p w14:paraId="60D5CAE2" w14:textId="77777777" w:rsidR="002C2AD1" w:rsidRPr="002C2AD1" w:rsidRDefault="002C2AD1" w:rsidP="002C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04D53093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34"/>
          <w:sz w:val="24"/>
          <w:szCs w:val="24"/>
        </w:rPr>
        <w:t xml:space="preserve"> 11-1.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məlumatvermə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 </w:t>
      </w:r>
      <w:bookmarkStart w:id="21" w:name="_ednref22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"_edn22"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u w:val="single"/>
          <w:vertAlign w:val="superscript"/>
        </w:rPr>
        <w:t>[22]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21"/>
    </w:p>
    <w:p w14:paraId="01B51D2C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 </w:t>
      </w:r>
    </w:p>
    <w:p w14:paraId="1C2CC31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11-1.1.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yazılı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(o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cümlədən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elektron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şifahi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formada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7C44A28B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11-1.2.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bələdiyyə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bələdiyyə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mülkiyyətində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paylarının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səhmlərinin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nəzarət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zərfi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dövlətə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bələdiyyəyə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məxsus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büdcə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bundan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sonra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–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rəhbəri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təşkilatlarda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verilməsi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bundan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sonra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–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701C9BE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11-1.3.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İdarə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təşkilatlarda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çalışan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işçilər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məlumatları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bölməyə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bilərlər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14955B2A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11-1.4.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etdikdən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sonra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almalı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alınmasını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bildirməlidir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40D70BF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11-1.5.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alındığı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gündən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20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günü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müddətində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araşdırmalı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araşdırmanın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nəticəsini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bildirməlidir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Araşdırma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“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Vətəndaşların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müraciətləri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haqqında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”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lastRenderedPageBreak/>
        <w:t>Azərbaycan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müraciətlərə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baxılması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xüsusiyyətlərinə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uyğun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aparılır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14F1BA13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11-1.6.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verilən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həmçinin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araşdırmanın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nəticəsində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birbaşa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dolayısı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maraqlı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şəxslərə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araşdırılması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həvalə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bilməz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187C341C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11-1.7.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olduqda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rəhbərinə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təqdim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hüququna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malikdir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İdarə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rəhbəri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belə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edilməsini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alınmasını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tutulan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tədbirlərin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keçirilməsini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etməlidir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6FE7DB67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11-1.8.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rəhbəri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olduqda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rəhbərindən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yuxarı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sahəsində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ixtisaslaşmış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orqanlara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təqdim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hüququna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malikdir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orqanlar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edilməsini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qeydə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alınmasını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tutulan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tədbirlərin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həyata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keçirilməsini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etməlidirlər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2CD8F854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 </w:t>
      </w:r>
    </w:p>
    <w:p w14:paraId="1ABB766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34"/>
          <w:sz w:val="24"/>
          <w:szCs w:val="24"/>
        </w:rPr>
        <w:t xml:space="preserve"> 11-2.</w:t>
      </w:r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i/>
          <w:iCs/>
          <w:color w:val="212529"/>
          <w:spacing w:val="2"/>
          <w:sz w:val="24"/>
          <w:szCs w:val="24"/>
        </w:rPr>
        <w:t>müdafiəsi</w:t>
      </w:r>
      <w:proofErr w:type="spellEnd"/>
    </w:p>
    <w:p w14:paraId="24B8FBC5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 </w:t>
      </w:r>
    </w:p>
    <w:p w14:paraId="679F8590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11-2.1.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özü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açıqlanmasını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istəmədiyi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halda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rəhbəri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sahəsində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ixtisaslaşmış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orqanlar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konfidensiallığını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etməlidirlər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. Bu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yazılı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razılığı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olduqda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açıqlanır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konfidensiallığının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pozulmasında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təqsiri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məsuliyyət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daşıyırlar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6DD3CCB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11-2.2.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yaxın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qohumuna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hədə-qorxu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gəlmək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onları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təzyiqlərə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məruz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qoymaq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mənəvi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ziyan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vurmaq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təhqir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təhdid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şərəf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ləyaqətini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alçaltmaq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məsuliyyətə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səbəb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7161556E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11-2.3.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yaxın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qohumu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öldürməklə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hədənin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icra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ediləcəyi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zor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ediləcəyi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əmlakının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məhv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ediləcəyi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ona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ziyan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vurulacağı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qorxusunun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mövcudluğu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real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əsaslar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olduğu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təqdirdə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prokurorluğa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müraciəti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əsasında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“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Cinayət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prosesində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iştirak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müdafiəsi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haqqında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”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təhlükəsizlik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tədbirləri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3E174BC8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11-2.4.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İdarə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vermiş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işçisi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barəsində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məsuliyyət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tədbirlərini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lastRenderedPageBreak/>
        <w:t>onların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hallardan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irəli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gəlməsini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aidiyyəti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olmadığını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əsaslandırmalıdır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işçi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attestasiyadan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keçirildikdə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bölmənin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nümayəndəsi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attestasiya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komissiyasının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iclasında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iştirak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etməlidir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1EC30403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11-2.5.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İdarə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müəssisə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təşkilatlar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səlahiyyətli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struktur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bölmə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qarşı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mübarizə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sahəsində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ixtisaslaşmış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orqanlar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bu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11-1-ci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11-2-ci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maddələrinin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tələbləri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pozulduqda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inzibati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(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)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məhkəməyə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şikayət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verə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3A7D9E1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11-2.6. Bu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11-2-ci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maddəsində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nəzərdə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tutulmuş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müdafiə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hüquqpozmalarla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bağlı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bilə-bilə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yalan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məlumatvermə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həmçinin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özü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maddi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nemətlər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güzəştlər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etmək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məqsədi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məlumatvermə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hallarında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tətbiq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olunmur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212529"/>
          <w:spacing w:val="2"/>
          <w:sz w:val="24"/>
          <w:szCs w:val="24"/>
        </w:rPr>
        <w:t>.</w:t>
      </w:r>
    </w:p>
    <w:p w14:paraId="00269846" w14:textId="77777777" w:rsidR="002C2AD1" w:rsidRPr="002C2AD1" w:rsidRDefault="002C2AD1" w:rsidP="002C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 </w:t>
      </w:r>
    </w:p>
    <w:p w14:paraId="63AC6695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IV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fəsil</w:t>
      </w:r>
      <w:proofErr w:type="spellEnd"/>
    </w:p>
    <w:p w14:paraId="67E841F6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54376ECE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KORRUPSİYA İLƏ ƏLAQƏDAR HÜQUQPOZMALARIN NƏTİCƏLƏRİNİN ARADAN QALDIRILMASI</w:t>
      </w:r>
    </w:p>
    <w:p w14:paraId="6DA2B903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16A0A2AD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12. 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əmlakın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götürülməsi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imtiyaz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dəyərinin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ödənilməsi</w:t>
      </w:r>
      <w:proofErr w:type="spellEnd"/>
    </w:p>
    <w:p w14:paraId="2B8D809E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6E8C08F5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12.1.Vəzifəli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dəyəri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könüllü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nəfinə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ödənilir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Vəzifəli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könüllü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qaytarmaqdan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dəyərini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habelə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dəyərini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könüllü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olaraq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ödəməkdən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etdikdə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dəyəri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qanunsuz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güzəşt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imtiyazların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dəyəri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iddiası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əsasında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məhkəmə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nəfinə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ödənilir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22" w:name="_ednref23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"_edn23"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[23]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22"/>
    </w:p>
    <w:p w14:paraId="0D409DDC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12.2.İşə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məhkəmədə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baxılana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qədər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iddianın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təmin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edilməsi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üçün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məhkəmə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cavabdehin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əmlakı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barədə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mülki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prosessual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qanunvericiliklə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müəyyən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edilmiş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qaydada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tədbirlər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görülə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bilər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02F4C855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 </w:t>
      </w:r>
    </w:p>
    <w:p w14:paraId="03B61C54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13. 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nəticəsində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aktların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ləğv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edilməsi</w:t>
      </w:r>
      <w:proofErr w:type="spellEnd"/>
    </w:p>
    <w:p w14:paraId="7C6985E0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7741DE85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Korrupsiya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ilə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əlaqədar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hüquqpozmalar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nəticəsində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qəbul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olunmuş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aktlar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yerli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özünüidarəetmə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orqanları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qurumlar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yaxud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müvafiq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dövlət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orqanlarının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və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digər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şəxslərin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müraciəti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əsasında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məhkəmə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tərəfindən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ləğv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  <w:proofErr w:type="spellStart"/>
      <w:r w:rsidRPr="002C2AD1">
        <w:rPr>
          <w:rFonts w:ascii="Palatino Linotype" w:eastAsia="Times New Roman" w:hAnsi="Palatino Linotype" w:cs="Times New Roman"/>
          <w:i/>
          <w:iCs/>
          <w:color w:val="000000"/>
          <w:spacing w:val="2"/>
          <w:sz w:val="24"/>
          <w:szCs w:val="24"/>
        </w:rPr>
        <w:t>edilir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  <w:bookmarkStart w:id="23" w:name="_ednref24"/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"https://e-qanun.az/framework/5809" \l "_edn24" \o "" </w:instrTex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2C2AD1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szCs w:val="20"/>
          <w:u w:val="single"/>
          <w:vertAlign w:val="superscript"/>
        </w:rPr>
        <w:t>[24]</w:t>
      </w:r>
      <w:r w:rsidRPr="002C2AD1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23"/>
    </w:p>
    <w:p w14:paraId="3502847C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lastRenderedPageBreak/>
        <w:t> </w:t>
      </w:r>
    </w:p>
    <w:p w14:paraId="3CA15FBD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>Maddə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34"/>
          <w:sz w:val="24"/>
          <w:szCs w:val="24"/>
        </w:rPr>
        <w:t xml:space="preserve"> 14. 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Qanunun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qüvvəyə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  <w:sz w:val="24"/>
          <w:szCs w:val="24"/>
        </w:rPr>
        <w:t>minməsi</w:t>
      </w:r>
      <w:proofErr w:type="spellEnd"/>
    </w:p>
    <w:p w14:paraId="15E2B592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 </w:t>
      </w:r>
    </w:p>
    <w:p w14:paraId="355C68B3" w14:textId="77777777" w:rsidR="002C2AD1" w:rsidRPr="002C2AD1" w:rsidRDefault="002C2AD1" w:rsidP="002C2AD1">
      <w:pPr>
        <w:shd w:val="clear" w:color="auto" w:fill="FFFFFF"/>
        <w:spacing w:after="0" w:line="240" w:lineRule="auto"/>
        <w:ind w:left="-24" w:firstLine="600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Bu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Qanun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2005-ci il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yanvar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ayının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1-dən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qüvvəyə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minir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  <w:sz w:val="24"/>
          <w:szCs w:val="24"/>
        </w:rPr>
        <w:t>.</w:t>
      </w:r>
    </w:p>
    <w:p w14:paraId="35295985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212529"/>
          <w:spacing w:val="2"/>
          <w:sz w:val="24"/>
          <w:szCs w:val="24"/>
        </w:rPr>
        <w:t> </w:t>
      </w:r>
    </w:p>
    <w:p w14:paraId="0E5C0987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</w:rPr>
        <w:t>İlham ƏLİYEV,</w:t>
      </w:r>
    </w:p>
    <w:p w14:paraId="7BE63B15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</w:rPr>
        <w:t>Azərbaycan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</w:rPr>
        <w:t>Respublikasının</w:t>
      </w:r>
      <w:proofErr w:type="spellEnd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b/>
          <w:bCs/>
          <w:color w:val="000000"/>
          <w:spacing w:val="2"/>
        </w:rPr>
        <w:t>Prezidenti</w:t>
      </w:r>
      <w:proofErr w:type="spellEnd"/>
    </w:p>
    <w:p w14:paraId="4A7599ED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 </w:t>
      </w:r>
    </w:p>
    <w:p w14:paraId="1C9EF856" w14:textId="77777777" w:rsidR="002C2AD1" w:rsidRPr="002C2AD1" w:rsidRDefault="002C2AD1" w:rsidP="002C2A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Bakı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</w:rPr>
        <w:t xml:space="preserve">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şəhəri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</w:rPr>
        <w:t xml:space="preserve">, 13 </w:t>
      </w:r>
      <w:proofErr w:type="spellStart"/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yanvar</w:t>
      </w:r>
      <w:proofErr w:type="spellEnd"/>
      <w:r w:rsidRPr="002C2AD1">
        <w:rPr>
          <w:rFonts w:ascii="Palatino Linotype" w:eastAsia="Times New Roman" w:hAnsi="Palatino Linotype" w:cs="Times New Roman"/>
          <w:color w:val="000000"/>
          <w:spacing w:val="2"/>
        </w:rPr>
        <w:t xml:space="preserve"> 2004-cü il</w:t>
      </w:r>
    </w:p>
    <w:p w14:paraId="19A9A98D" w14:textId="77777777" w:rsidR="002C2AD1" w:rsidRPr="002C2AD1" w:rsidRDefault="002C2AD1" w:rsidP="002C2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color w:val="000000"/>
          <w:spacing w:val="2"/>
        </w:rPr>
        <w:t>       № 580-IIQ</w:t>
      </w:r>
    </w:p>
    <w:p w14:paraId="1CDA4371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 </w:t>
      </w:r>
    </w:p>
    <w:p w14:paraId="7C5A08E2" w14:textId="77777777" w:rsidR="002C2AD1" w:rsidRPr="002C2AD1" w:rsidRDefault="002C2AD1" w:rsidP="002C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2C2AD1">
        <w:rPr>
          <w:rFonts w:ascii="Palatino Linotype" w:eastAsia="Times New Roman" w:hAnsi="Palatino Linotype" w:cs="Times New Roman"/>
          <w:b/>
          <w:bCs/>
          <w:color w:val="212529"/>
          <w:spacing w:val="2"/>
          <w:sz w:val="24"/>
          <w:szCs w:val="24"/>
        </w:rPr>
        <w:t> </w:t>
      </w:r>
    </w:p>
    <w:p w14:paraId="20A153A5" w14:textId="77777777" w:rsidR="006D2658" w:rsidRDefault="006D2658"/>
    <w:sectPr w:rsidR="006D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36"/>
    <w:rsid w:val="00112C36"/>
    <w:rsid w:val="002C2AD1"/>
    <w:rsid w:val="006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252C-377E-4D3B-9C87-77AEAA3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2C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3962</Words>
  <Characters>22585</Characters>
  <Application>Microsoft Office Word</Application>
  <DocSecurity>0</DocSecurity>
  <Lines>188</Lines>
  <Paragraphs>52</Paragraphs>
  <ScaleCrop>false</ScaleCrop>
  <Company/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Valizada</dc:creator>
  <cp:keywords/>
  <dc:description/>
  <cp:lastModifiedBy>Ramin Valizada</cp:lastModifiedBy>
  <cp:revision>2</cp:revision>
  <dcterms:created xsi:type="dcterms:W3CDTF">2023-09-06T09:52:00Z</dcterms:created>
  <dcterms:modified xsi:type="dcterms:W3CDTF">2023-09-06T09:52:00Z</dcterms:modified>
</cp:coreProperties>
</file>